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D7E5" w14:textId="77777777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D46C7" w14:textId="77777777" w:rsidR="00003BD3" w:rsidRPr="004034B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113149" w14:textId="77777777" w:rsidR="00003BD3" w:rsidRPr="004034B7" w:rsidRDefault="00897EF0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</w:p>
    <w:p w14:paraId="6F9C940F" w14:textId="77777777" w:rsidR="00003BD3" w:rsidRPr="004034B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FBC8" w14:textId="77777777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7EF0" w:rsidRPr="004034B7">
        <w:rPr>
          <w:rFonts w:ascii="Times New Roman" w:hAnsi="Times New Roman" w:cs="Times New Roman"/>
          <w:b/>
          <w:sz w:val="24"/>
          <w:szCs w:val="24"/>
        </w:rPr>
        <w:t>Turgut Türsoy</w:t>
      </w:r>
    </w:p>
    <w:p w14:paraId="59101D11" w14:textId="77777777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7EF0" w:rsidRPr="004034B7">
        <w:rPr>
          <w:rFonts w:ascii="Times New Roman" w:hAnsi="Times New Roman" w:cs="Times New Roman"/>
          <w:b/>
          <w:sz w:val="24"/>
          <w:szCs w:val="24"/>
        </w:rPr>
        <w:t>15/11/1977</w:t>
      </w:r>
    </w:p>
    <w:p w14:paraId="5A380737" w14:textId="77E76F4A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680C">
        <w:rPr>
          <w:rFonts w:ascii="Times New Roman" w:hAnsi="Times New Roman" w:cs="Times New Roman"/>
          <w:b/>
          <w:sz w:val="24"/>
          <w:szCs w:val="24"/>
        </w:rPr>
        <w:t>Profesor</w:t>
      </w:r>
    </w:p>
    <w:p w14:paraId="3279B45B" w14:textId="77777777" w:rsidR="00003BD3" w:rsidRPr="004034B7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>4.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4034B7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4034B7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4034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7EF0" w:rsidRPr="004034B7">
        <w:rPr>
          <w:rFonts w:ascii="Times New Roman" w:hAnsi="Times New Roman" w:cs="Times New Roman"/>
          <w:b/>
          <w:sz w:val="24"/>
          <w:szCs w:val="24"/>
        </w:rPr>
        <w:t>Lisansüstü</w:t>
      </w:r>
    </w:p>
    <w:p w14:paraId="0208C5B4" w14:textId="77777777" w:rsidR="00CA5642" w:rsidRPr="004034B7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>5.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proofErr w:type="gramStart"/>
      <w:r w:rsidRPr="004034B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97EF0" w:rsidRPr="004034B7">
        <w:rPr>
          <w:rFonts w:ascii="Times New Roman" w:hAnsi="Times New Roman" w:cs="Times New Roman"/>
          <w:b/>
          <w:sz w:val="24"/>
          <w:szCs w:val="24"/>
        </w:rPr>
        <w:t>Yakın</w:t>
      </w:r>
      <w:proofErr w:type="gramEnd"/>
      <w:r w:rsidR="00897EF0" w:rsidRPr="004034B7">
        <w:rPr>
          <w:rFonts w:ascii="Times New Roman" w:hAnsi="Times New Roman" w:cs="Times New Roman"/>
          <w:b/>
          <w:sz w:val="24"/>
          <w:szCs w:val="24"/>
        </w:rPr>
        <w:t xml:space="preserve"> Doğu Üniversitesi</w:t>
      </w:r>
    </w:p>
    <w:p w14:paraId="2595382C" w14:textId="77777777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4034B7" w14:paraId="14F17048" w14:textId="77777777" w:rsidTr="00003BD3">
        <w:trPr>
          <w:trHeight w:val="986"/>
        </w:trPr>
        <w:tc>
          <w:tcPr>
            <w:tcW w:w="1419" w:type="dxa"/>
          </w:tcPr>
          <w:p w14:paraId="6898C926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9AD7E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543" w:type="dxa"/>
          </w:tcPr>
          <w:p w14:paraId="193189D3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12F55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395" w:type="dxa"/>
          </w:tcPr>
          <w:p w14:paraId="230194E4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9AD79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14:paraId="0440A8BE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633D3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F0557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C8C5B" w14:textId="77777777" w:rsidR="00003BD3" w:rsidRPr="004034B7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03BD3" w:rsidRPr="004034B7" w14:paraId="0C4C12F7" w14:textId="77777777" w:rsidTr="00003BD3">
        <w:trPr>
          <w:trHeight w:val="153"/>
        </w:trPr>
        <w:tc>
          <w:tcPr>
            <w:tcW w:w="1419" w:type="dxa"/>
          </w:tcPr>
          <w:p w14:paraId="0D6D2757" w14:textId="77777777" w:rsidR="00003BD3" w:rsidRPr="004034B7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543" w:type="dxa"/>
          </w:tcPr>
          <w:p w14:paraId="2F8AFC63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  <w:tc>
          <w:tcPr>
            <w:tcW w:w="4395" w:type="dxa"/>
          </w:tcPr>
          <w:p w14:paraId="02013C42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İstanbul Üniversitesi</w:t>
            </w:r>
          </w:p>
        </w:tc>
        <w:tc>
          <w:tcPr>
            <w:tcW w:w="992" w:type="dxa"/>
          </w:tcPr>
          <w:p w14:paraId="04715EBC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03BD3" w:rsidRPr="004034B7" w14:paraId="2CB3AD84" w14:textId="77777777" w:rsidTr="00003BD3">
        <w:trPr>
          <w:trHeight w:val="298"/>
        </w:trPr>
        <w:tc>
          <w:tcPr>
            <w:tcW w:w="1419" w:type="dxa"/>
          </w:tcPr>
          <w:p w14:paraId="5D804ED5" w14:textId="77777777" w:rsidR="00003BD3" w:rsidRPr="004034B7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43" w:type="dxa"/>
          </w:tcPr>
          <w:p w14:paraId="1E5D2C68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  <w:proofErr w:type="spellStart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Masteri</w:t>
            </w:r>
            <w:proofErr w:type="spellEnd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(MBA)</w:t>
            </w:r>
          </w:p>
        </w:tc>
        <w:tc>
          <w:tcPr>
            <w:tcW w:w="4395" w:type="dxa"/>
          </w:tcPr>
          <w:p w14:paraId="777D5B5C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Uluslar arası</w:t>
            </w:r>
            <w:proofErr w:type="gramEnd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Kıbrıs Üniversitesi</w:t>
            </w:r>
          </w:p>
        </w:tc>
        <w:tc>
          <w:tcPr>
            <w:tcW w:w="992" w:type="dxa"/>
          </w:tcPr>
          <w:p w14:paraId="1F26C080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03BD3" w:rsidRPr="004034B7" w14:paraId="4A0CC10B" w14:textId="77777777" w:rsidTr="00003BD3">
        <w:trPr>
          <w:trHeight w:val="161"/>
        </w:trPr>
        <w:tc>
          <w:tcPr>
            <w:tcW w:w="1419" w:type="dxa"/>
          </w:tcPr>
          <w:p w14:paraId="04147194" w14:textId="77777777" w:rsidR="00003BD3" w:rsidRPr="004034B7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543" w:type="dxa"/>
          </w:tcPr>
          <w:p w14:paraId="1F55FF54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4395" w:type="dxa"/>
          </w:tcPr>
          <w:p w14:paraId="4130F4B6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Marmara</w:t>
            </w:r>
          </w:p>
        </w:tc>
        <w:tc>
          <w:tcPr>
            <w:tcW w:w="992" w:type="dxa"/>
          </w:tcPr>
          <w:p w14:paraId="0E28B0A1" w14:textId="77777777" w:rsidR="00003BD3" w:rsidRPr="004034B7" w:rsidRDefault="00897E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14:paraId="66569172" w14:textId="77777777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6A313" w14:textId="77777777" w:rsidR="00003BD3" w:rsidRPr="004034B7" w:rsidRDefault="001D62E7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>Akademik Unvanlar</w:t>
      </w:r>
    </w:p>
    <w:p w14:paraId="597ACF84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>Yardımcı Doçentlik Tarihi</w:t>
      </w:r>
      <w:proofErr w:type="gramStart"/>
      <w:r w:rsidR="001D62E7" w:rsidRPr="004034B7">
        <w:rPr>
          <w:rFonts w:ascii="Times New Roman" w:hAnsi="Times New Roman" w:cs="Times New Roman"/>
          <w:sz w:val="24"/>
          <w:szCs w:val="24"/>
        </w:rPr>
        <w:tab/>
      </w:r>
      <w:r w:rsidRPr="004034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r w:rsidR="00897EF0" w:rsidRPr="004034B7">
        <w:rPr>
          <w:rFonts w:ascii="Times New Roman" w:hAnsi="Times New Roman" w:cs="Times New Roman"/>
          <w:sz w:val="24"/>
          <w:szCs w:val="24"/>
        </w:rPr>
        <w:t>01/06/2011</w:t>
      </w:r>
    </w:p>
    <w:p w14:paraId="5777DCF5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Doçentlik Tarihi </w:t>
      </w:r>
      <w:r w:rsidR="001D62E7" w:rsidRPr="004034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62E7" w:rsidRPr="004034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34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27/07/2017</w:t>
      </w:r>
    </w:p>
    <w:p w14:paraId="2C649353" w14:textId="485824DA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>Profesörlük Tarihi</w:t>
      </w:r>
      <w:r w:rsidR="001D62E7" w:rsidRPr="004034B7">
        <w:rPr>
          <w:rFonts w:ascii="Times New Roman" w:hAnsi="Times New Roman" w:cs="Times New Roman"/>
          <w:sz w:val="24"/>
          <w:szCs w:val="24"/>
        </w:rPr>
        <w:tab/>
      </w:r>
      <w:r w:rsidR="001D62E7" w:rsidRPr="004034B7">
        <w:rPr>
          <w:rFonts w:ascii="Times New Roman" w:hAnsi="Times New Roman" w:cs="Times New Roman"/>
          <w:sz w:val="24"/>
          <w:szCs w:val="24"/>
        </w:rPr>
        <w:tab/>
      </w:r>
      <w:r w:rsidRPr="004034B7">
        <w:rPr>
          <w:rFonts w:ascii="Times New Roman" w:hAnsi="Times New Roman" w:cs="Times New Roman"/>
          <w:sz w:val="24"/>
          <w:szCs w:val="24"/>
        </w:rPr>
        <w:t xml:space="preserve"> :</w:t>
      </w:r>
      <w:r w:rsidR="00A7680C">
        <w:rPr>
          <w:rFonts w:ascii="Times New Roman" w:hAnsi="Times New Roman" w:cs="Times New Roman"/>
          <w:sz w:val="24"/>
          <w:szCs w:val="24"/>
        </w:rPr>
        <w:t>24/3/2023</w:t>
      </w:r>
    </w:p>
    <w:p w14:paraId="29749558" w14:textId="77777777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 xml:space="preserve">Yönetilen Yüksek Lisans ve Doktora Tezleri </w:t>
      </w:r>
    </w:p>
    <w:p w14:paraId="789221AA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>6.1</w:t>
      </w:r>
      <w:r w:rsidRPr="004034B7">
        <w:rPr>
          <w:rFonts w:ascii="Times New Roman" w:hAnsi="Times New Roman" w:cs="Times New Roman"/>
          <w:sz w:val="24"/>
          <w:szCs w:val="24"/>
        </w:rPr>
        <w:t xml:space="preserve">. Yüksek Lisans Tezleri </w:t>
      </w:r>
    </w:p>
    <w:p w14:paraId="192268A7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585BD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</w:p>
    <w:p w14:paraId="4CB890E8" w14:textId="77777777" w:rsidR="004034B7" w:rsidRDefault="004034B7" w:rsidP="004034B7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2CC56A3">
        <w:rPr>
          <w:rFonts w:ascii="Times New Roman" w:hAnsi="Times New Roman" w:cs="Times New Roman"/>
          <w:sz w:val="24"/>
          <w:szCs w:val="24"/>
          <w:lang w:eastAsia="tr-TR"/>
        </w:rPr>
        <w:t>Andrea, S. R., “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nexus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agricultural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productivity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oil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prices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economic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financial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USA”,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Near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East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>, 2018.</w:t>
      </w:r>
    </w:p>
    <w:p w14:paraId="5F9BE7AD" w14:textId="77777777" w:rsidR="004034B7" w:rsidRPr="004034B7" w:rsidRDefault="004034B7" w:rsidP="004034B7">
      <w:pPr>
        <w:spacing w:before="120" w:after="120"/>
        <w:ind w:left="720"/>
        <w:jc w:val="both"/>
        <w:rPr>
          <w:lang w:eastAsia="tr-TR"/>
        </w:rPr>
      </w:pP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Mohammed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>, B. I. M., “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of 2008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financial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crisis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on bank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performance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evidence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USA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commercial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banks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insured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FDIC”,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Near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 xml:space="preserve"> East </w:t>
      </w:r>
      <w:proofErr w:type="spellStart"/>
      <w:r w:rsidRPr="02CC56A3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2CC56A3">
        <w:rPr>
          <w:rFonts w:ascii="Times New Roman" w:hAnsi="Times New Roman" w:cs="Times New Roman"/>
          <w:sz w:val="24"/>
          <w:szCs w:val="24"/>
          <w:lang w:eastAsia="tr-TR"/>
        </w:rPr>
        <w:t>, 2018.</w:t>
      </w:r>
    </w:p>
    <w:p w14:paraId="7B13B80D" w14:textId="77777777" w:rsidR="00897EF0" w:rsidRPr="004034B7" w:rsidRDefault="004034B7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EF0" w:rsidRPr="004034B7">
        <w:rPr>
          <w:rFonts w:ascii="Times New Roman" w:hAnsi="Times New Roman" w:cs="Times New Roman"/>
          <w:sz w:val="24"/>
          <w:szCs w:val="24"/>
        </w:rPr>
        <w:t>Eze, T. C., “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Nigeria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Exchange”,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="00897EF0"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97EF0" w:rsidRPr="004034B7">
        <w:rPr>
          <w:rFonts w:ascii="Times New Roman" w:hAnsi="Times New Roman" w:cs="Times New Roman"/>
          <w:sz w:val="24"/>
          <w:szCs w:val="24"/>
        </w:rPr>
        <w:t>, 2018.</w:t>
      </w:r>
    </w:p>
    <w:p w14:paraId="3E88D39E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Alsakarneh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R.,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Commercial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Jordan”,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2018.</w:t>
      </w:r>
    </w:p>
    <w:p w14:paraId="222B28D8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  <w:t>Sabır, B.,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Liquidity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Commercial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2018.</w:t>
      </w:r>
    </w:p>
    <w:p w14:paraId="6CCAB524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Asif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T.,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Inflation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Pakistan”,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2018</w:t>
      </w:r>
    </w:p>
    <w:p w14:paraId="37941BA4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  <w:t>Dayan, T. A.,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Arbitrage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2017</w:t>
      </w:r>
    </w:p>
    <w:p w14:paraId="47F53C44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Sulayman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M.,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2017</w:t>
      </w:r>
    </w:p>
    <w:p w14:paraId="2615E6CE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Kashtu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B.,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openness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2017</w:t>
      </w:r>
    </w:p>
    <w:p w14:paraId="3144281B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P. M.,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FDI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2016</w:t>
      </w:r>
    </w:p>
    <w:p w14:paraId="1EC36149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  <w:t>Ahmed, H. A.,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bank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profitability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islamic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2016</w:t>
      </w:r>
    </w:p>
    <w:p w14:paraId="48780051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Biza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L. F.,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Zimbabwe (1978-2011)”,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2016</w:t>
      </w:r>
    </w:p>
    <w:p w14:paraId="3EB0F240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Erçen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H. İ.,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Yhe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2015.</w:t>
      </w:r>
    </w:p>
    <w:p w14:paraId="254A5E63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Daitone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C.,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/Gold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South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2015.</w:t>
      </w:r>
    </w:p>
    <w:p w14:paraId="3113CD57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Zrar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Q.,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2015.</w:t>
      </w:r>
    </w:p>
    <w:p w14:paraId="5FB9401F" w14:textId="77777777" w:rsidR="00897EF0" w:rsidRPr="004034B7" w:rsidRDefault="00897EF0" w:rsidP="00897EF0">
      <w:pPr>
        <w:pStyle w:val="Default"/>
        <w:ind w:left="705"/>
        <w:rPr>
          <w:color w:val="auto"/>
        </w:rPr>
      </w:pPr>
      <w:r w:rsidRPr="004034B7">
        <w:t>Hussain</w:t>
      </w:r>
      <w:r w:rsidRPr="004034B7">
        <w:rPr>
          <w:color w:val="auto"/>
        </w:rPr>
        <w:t xml:space="preserve">, L., </w:t>
      </w:r>
      <w:proofErr w:type="gramStart"/>
      <w:r w:rsidRPr="004034B7">
        <w:rPr>
          <w:color w:val="auto"/>
        </w:rPr>
        <w:t xml:space="preserve">“ </w:t>
      </w:r>
      <w:proofErr w:type="spellStart"/>
      <w:r w:rsidRPr="004034B7">
        <w:rPr>
          <w:color w:val="auto"/>
        </w:rPr>
        <w:t>The</w:t>
      </w:r>
      <w:proofErr w:type="spellEnd"/>
      <w:proofErr w:type="gramEnd"/>
      <w:r w:rsidRPr="004034B7">
        <w:rPr>
          <w:color w:val="auto"/>
        </w:rPr>
        <w:t xml:space="preserve"> </w:t>
      </w:r>
      <w:proofErr w:type="spellStart"/>
      <w:r w:rsidRPr="004034B7">
        <w:rPr>
          <w:color w:val="auto"/>
        </w:rPr>
        <w:t>Impact</w:t>
      </w:r>
      <w:proofErr w:type="spellEnd"/>
      <w:r w:rsidRPr="004034B7">
        <w:rPr>
          <w:color w:val="auto"/>
        </w:rPr>
        <w:t xml:space="preserve"> of </w:t>
      </w:r>
      <w:proofErr w:type="spellStart"/>
      <w:r w:rsidRPr="004034B7">
        <w:rPr>
          <w:color w:val="auto"/>
        </w:rPr>
        <w:t>Foreign</w:t>
      </w:r>
      <w:proofErr w:type="spellEnd"/>
      <w:r w:rsidRPr="004034B7">
        <w:rPr>
          <w:color w:val="auto"/>
        </w:rPr>
        <w:t xml:space="preserve"> Direct </w:t>
      </w:r>
      <w:proofErr w:type="spellStart"/>
      <w:r w:rsidRPr="004034B7">
        <w:rPr>
          <w:color w:val="auto"/>
        </w:rPr>
        <w:t>Investment</w:t>
      </w:r>
      <w:proofErr w:type="spellEnd"/>
      <w:r w:rsidRPr="004034B7">
        <w:rPr>
          <w:color w:val="auto"/>
        </w:rPr>
        <w:t xml:space="preserve"> on GDP: A Case </w:t>
      </w:r>
      <w:proofErr w:type="spellStart"/>
      <w:r w:rsidRPr="004034B7">
        <w:rPr>
          <w:color w:val="auto"/>
        </w:rPr>
        <w:t>Study</w:t>
      </w:r>
      <w:proofErr w:type="spellEnd"/>
      <w:r w:rsidRPr="004034B7">
        <w:rPr>
          <w:color w:val="auto"/>
        </w:rPr>
        <w:t xml:space="preserve"> of </w:t>
      </w:r>
      <w:proofErr w:type="spellStart"/>
      <w:r w:rsidRPr="004034B7">
        <w:rPr>
          <w:color w:val="auto"/>
        </w:rPr>
        <w:t>Turkey</w:t>
      </w:r>
      <w:proofErr w:type="spellEnd"/>
      <w:r w:rsidRPr="004034B7">
        <w:rPr>
          <w:color w:val="auto"/>
        </w:rPr>
        <w:t xml:space="preserve">, 1990–2011”, </w:t>
      </w:r>
      <w:proofErr w:type="spellStart"/>
      <w:r w:rsidRPr="004034B7">
        <w:rPr>
          <w:color w:val="auto"/>
        </w:rPr>
        <w:t>Near</w:t>
      </w:r>
      <w:proofErr w:type="spellEnd"/>
      <w:r w:rsidRPr="004034B7">
        <w:rPr>
          <w:color w:val="auto"/>
        </w:rPr>
        <w:t xml:space="preserve"> East </w:t>
      </w:r>
      <w:proofErr w:type="spellStart"/>
      <w:r w:rsidRPr="004034B7">
        <w:rPr>
          <w:color w:val="auto"/>
        </w:rPr>
        <w:t>University</w:t>
      </w:r>
      <w:proofErr w:type="spellEnd"/>
      <w:r w:rsidRPr="004034B7">
        <w:rPr>
          <w:color w:val="auto"/>
        </w:rPr>
        <w:t>, 2015.</w:t>
      </w:r>
    </w:p>
    <w:p w14:paraId="60DDC3F8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Awwad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T. F. A.,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2015</w:t>
      </w:r>
    </w:p>
    <w:p w14:paraId="36B3F1B6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Airub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A.,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2014</w:t>
      </w:r>
    </w:p>
    <w:p w14:paraId="304CAD2F" w14:textId="77777777" w:rsidR="00897EF0" w:rsidRPr="004034B7" w:rsidRDefault="00897EF0" w:rsidP="00897EF0">
      <w:pPr>
        <w:tabs>
          <w:tab w:val="num" w:pos="360"/>
        </w:tabs>
        <w:spacing w:before="120"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sz w:val="24"/>
          <w:szCs w:val="24"/>
        </w:rPr>
        <w:t xml:space="preserve">Ünal, H., “Bank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Net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Profitability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(TRNC)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May 2011.</w:t>
      </w:r>
    </w:p>
    <w:p w14:paraId="089CA44B" w14:textId="77777777" w:rsidR="00897EF0" w:rsidRPr="004034B7" w:rsidRDefault="00897EF0" w:rsidP="004034B7">
      <w:pPr>
        <w:pStyle w:val="NoSpacing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4034B7">
        <w:rPr>
          <w:rFonts w:ascii="Times New Roman" w:hAnsi="Times New Roman"/>
          <w:sz w:val="24"/>
          <w:szCs w:val="24"/>
        </w:rPr>
        <w:t>Rjoub</w:t>
      </w:r>
      <w:proofErr w:type="spellEnd"/>
      <w:r w:rsidRPr="004034B7">
        <w:rPr>
          <w:rFonts w:ascii="Times New Roman" w:hAnsi="Times New Roman"/>
          <w:sz w:val="24"/>
          <w:szCs w:val="24"/>
        </w:rPr>
        <w:t>, H.</w:t>
      </w:r>
      <w:proofErr w:type="gramStart"/>
      <w:r w:rsidRPr="004034B7">
        <w:rPr>
          <w:rFonts w:ascii="Times New Roman" w:hAnsi="Times New Roman"/>
          <w:sz w:val="24"/>
          <w:szCs w:val="24"/>
        </w:rPr>
        <w:t>, ”</w:t>
      </w:r>
      <w:proofErr w:type="gramEnd"/>
      <w:r w:rsidRPr="00403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/>
          <w:sz w:val="24"/>
          <w:szCs w:val="24"/>
        </w:rPr>
        <w:t>Effects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/>
          <w:sz w:val="24"/>
          <w:szCs w:val="24"/>
        </w:rPr>
        <w:t>Factors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/>
          <w:sz w:val="24"/>
          <w:szCs w:val="24"/>
        </w:rPr>
        <w:t>Returns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/>
          <w:sz w:val="24"/>
          <w:szCs w:val="24"/>
        </w:rPr>
        <w:t>Istanbul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/>
          <w:sz w:val="24"/>
          <w:szCs w:val="24"/>
        </w:rPr>
        <w:t>Stocks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Market”</w:t>
      </w:r>
      <w:r w:rsidR="004034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/>
          <w:sz w:val="24"/>
          <w:szCs w:val="24"/>
        </w:rPr>
        <w:t>August</w:t>
      </w:r>
      <w:proofErr w:type="spellEnd"/>
      <w:r w:rsidRPr="004034B7">
        <w:rPr>
          <w:rFonts w:ascii="Times New Roman" w:hAnsi="Times New Roman"/>
          <w:sz w:val="24"/>
          <w:szCs w:val="24"/>
        </w:rPr>
        <w:t xml:space="preserve"> 2007.</w:t>
      </w:r>
    </w:p>
    <w:p w14:paraId="7C5777E8" w14:textId="77777777" w:rsidR="00897EF0" w:rsidRPr="004034B7" w:rsidRDefault="00897EF0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29FF4FE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4034B7">
        <w:rPr>
          <w:rFonts w:ascii="Times New Roman" w:hAnsi="Times New Roman" w:cs="Times New Roman"/>
          <w:sz w:val="24"/>
          <w:szCs w:val="24"/>
        </w:rPr>
        <w:t>Doktora Tezleri</w:t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869BE7" w14:textId="77777777" w:rsidR="00897EF0" w:rsidRPr="004034B7" w:rsidRDefault="00897EF0" w:rsidP="00897EF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Faisal, “Financial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Urbanization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Nexus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Time Series Analysis”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2017.</w:t>
      </w:r>
    </w:p>
    <w:p w14:paraId="0017A86A" w14:textId="77777777" w:rsidR="00897EF0" w:rsidRPr="004034B7" w:rsidRDefault="00897EF0" w:rsidP="00897EF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26A4A687" w14:textId="77777777" w:rsidR="00003BD3" w:rsidRPr="004034B7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</w:p>
    <w:p w14:paraId="15954F7B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16D8E9" w14:textId="77777777" w:rsidR="001D62E7" w:rsidRPr="004034B7" w:rsidRDefault="00003BD3" w:rsidP="0089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4034B7">
        <w:rPr>
          <w:rFonts w:ascii="Times New Roman" w:hAnsi="Times New Roman" w:cs="Times New Roman"/>
          <w:sz w:val="24"/>
          <w:szCs w:val="24"/>
        </w:rPr>
        <w:t>Uluslararası hakemli dergile</w:t>
      </w:r>
      <w:r w:rsidR="00CA5642" w:rsidRPr="004034B7">
        <w:rPr>
          <w:rFonts w:ascii="Times New Roman" w:hAnsi="Times New Roman" w:cs="Times New Roman"/>
          <w:sz w:val="24"/>
          <w:szCs w:val="24"/>
        </w:rPr>
        <w:t>rde yayınlanan makaleler (</w:t>
      </w:r>
      <w:proofErr w:type="spellStart"/>
      <w:proofErr w:type="gramStart"/>
      <w:r w:rsidR="00CA5642" w:rsidRPr="004034B7">
        <w:rPr>
          <w:rFonts w:ascii="Times New Roman" w:hAnsi="Times New Roman" w:cs="Times New Roman"/>
          <w:sz w:val="24"/>
          <w:szCs w:val="24"/>
        </w:rPr>
        <w:t>SCI,SSCI</w:t>
      </w:r>
      <w:proofErr w:type="gramEnd"/>
      <w:r w:rsidR="00CA5642" w:rsidRPr="004034B7">
        <w:rPr>
          <w:rFonts w:ascii="Times New Roman" w:hAnsi="Times New Roman" w:cs="Times New Roman"/>
          <w:sz w:val="24"/>
          <w:szCs w:val="24"/>
        </w:rPr>
        <w:t>,Arts</w:t>
      </w:r>
      <w:proofErr w:type="spellEnd"/>
      <w:r w:rsidR="00CA5642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642"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A5642"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2E7" w:rsidRPr="004034B7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1D62E7" w:rsidRPr="004034B7">
        <w:rPr>
          <w:rFonts w:ascii="Times New Roman" w:hAnsi="Times New Roman" w:cs="Times New Roman"/>
          <w:sz w:val="24"/>
          <w:szCs w:val="24"/>
        </w:rPr>
        <w:t>)</w:t>
      </w:r>
    </w:p>
    <w:p w14:paraId="5C3EC67E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Moyo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D., &amp; Tursoy, T. (2022).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Renewable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banking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sector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development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carbon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dioxide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emissions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nexus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path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toward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sustainable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development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South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Africa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Renewable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F51AE7B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B9F954D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MOYO, D., &amp; TURSOY, T. (2022).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Oil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Price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Gold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Price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Equity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Market Nexus in South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Africa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Bootstrap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ARDL.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Studies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Applied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40(2).</w:t>
      </w:r>
    </w:p>
    <w:p w14:paraId="242F851D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E1270B7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lastRenderedPageBreak/>
        <w:t>Erçen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H. İ.,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Özdeşer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H., &amp; Türsoy, T. (2022).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Impact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Macroeconomic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Sustainability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on Exchange Rate: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Hybrid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Machine-Learning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Approach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Sustainability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14(9), 5357.</w:t>
      </w:r>
    </w:p>
    <w:p w14:paraId="347B0BC0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F7E9479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Abdulah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H., &amp; Tursoy, T. (2022).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effect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corporate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governance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financial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performance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shareholder-oriented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system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Iranian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Management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Studies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612C9FC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9DBB544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Baskaya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&amp; Tursoy, T. (2022).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Financial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Inclusion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Renewable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Co2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Emissions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Nexus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Bricks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Nations: New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Based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Method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Moments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Quantile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Regression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Applied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Ecology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Environmental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Research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20(3), 2577-2595.</w:t>
      </w:r>
    </w:p>
    <w:p w14:paraId="7CC5E10B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E576033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Habeşoğlu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O.,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Tursoy, T.,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Ahmadi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M., Abdullah, L., &amp;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Othman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M. (2022).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Study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Environmental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Degradation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its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Relationship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Oil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Prices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Financial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Strategies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Novel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Findings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Context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Transition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Frontiers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Environmental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Science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220.</w:t>
      </w:r>
    </w:p>
    <w:p w14:paraId="09127273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3BD6B2A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Baskaya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M. M., &amp; Tursoy, T. (2022).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impact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financial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development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FDI on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renewable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UAE: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path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towards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sustainable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development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Sustainability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14(3), 1208.</w:t>
      </w:r>
    </w:p>
    <w:p w14:paraId="34C4E561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0A079C8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Isiksal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 Z., &amp; Türsoy, T.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Effect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Transmission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Impact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US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Interest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Rate on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Turkey’s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CO2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Emissions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Bootstrap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ARDL.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Indonesian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Sustainability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Accounting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Management, 5(2).</w:t>
      </w:r>
    </w:p>
    <w:p w14:paraId="276CA255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D9C64F5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Tursoy, T. &amp;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Simbarashe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Rabson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Nexus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Agricultural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Productivity,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Oil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Prices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Growth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Financial Development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USA.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Review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Innovation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Competitiveness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7 (1), 117-136. https://doi.org/10.32728/ric.2021.71/6</w:t>
      </w:r>
    </w:p>
    <w:p w14:paraId="43D9D452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6B330A9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Mar’i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M. &amp; Tursoy, T. (2021). Exchange Rate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Dependency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Emerging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Countries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proofErr w:type="gram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Case of Black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Sea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Countries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Capital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Markets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Review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Vol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29, No. 2,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. 43-54 (2021).</w:t>
      </w:r>
    </w:p>
    <w:p w14:paraId="735E7D89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B02EF2D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Faisal, F., Rahman, S. U.,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Chander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R., Ali, A.,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Ramakrishnan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S.,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Ozatac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N., ... &amp; Tursoy, T.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Investigating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nexus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GDP,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oil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prices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FDI,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tourism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emerging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Empirical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novel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fourier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ARDL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hidden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cointegration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Resources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Policy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74, 102368.</w:t>
      </w:r>
    </w:p>
    <w:p w14:paraId="0A9E5550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73B87DF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Faisal, F.,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Pervaiz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R.,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Ozatac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N., &amp; Tursoy, T.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Exploring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relationship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carbon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dioxide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emissions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urbanisation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financial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deepening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using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symmetric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asymmetric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causality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approaches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Environment, Development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Sustainability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1-29.</w:t>
      </w:r>
    </w:p>
    <w:p w14:paraId="41D85D7D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4875868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Rashdan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M.O.J., Faisal, F., Tursoy, T. et al.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Investigating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N-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shape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EKC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using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capture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fisheries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as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biodiversity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indicator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empirical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selected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14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emerging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countries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Environ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Sci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Pollut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Re.s</w:t>
      </w:r>
      <w:proofErr w:type="spellEnd"/>
      <w:proofErr w:type="gram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(2021). https://doi.org/10.1007/s11356-021-13156-6</w:t>
      </w:r>
    </w:p>
    <w:p w14:paraId="77575902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CFE89A6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Mar’i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M., &amp; Tursoy, T.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Relationship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Coronavirus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Stock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Market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Volatility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Emerging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Countries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Empirical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Wavelet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coherence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Asian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Finance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Management, 1-12.</w:t>
      </w:r>
    </w:p>
    <w:p w14:paraId="7BF3A31B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CC5421C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Zhakanova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Isıksal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T Türsoy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Growth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Trade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FDI, Exchange Rate,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CO2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Emissions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Fresh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Combined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-Integration Test. International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Ecology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&amp; Development™ 36 (2), 34-42</w:t>
      </w:r>
    </w:p>
    <w:p w14:paraId="46861D63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2224A6A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Assi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 F.,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Isiksal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 Z., &amp; Tursoy, T.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Renewable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consumption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financial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development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environmental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pollution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innovations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ASEAN+3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group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(P-ARDL) model.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Renewable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165, 689-700.</w:t>
      </w:r>
    </w:p>
    <w:p w14:paraId="188D8A1E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8F870ED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Moyo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D.,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&amp; Tursoy, T. (2021).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Nexus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Taxation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Government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Expenditure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Growth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South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Africa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fresh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combined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cointegration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test.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Studies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Applied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39(3).</w:t>
      </w:r>
    </w:p>
    <w:p w14:paraId="3E10E746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9854498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Assi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 F.,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Isiksal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 Z., &amp; Tursoy, T. (2020).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Highlighting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connection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financial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development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consumption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countries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with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highest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freedom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Energy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Policy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147, 111897.</w:t>
      </w:r>
    </w:p>
    <w:p w14:paraId="78A53EBA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66458A8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Moyo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D.,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Turgut, T (2020).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Impact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Inflation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Exchange Rate on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Financial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Performance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Commercial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Banks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South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Africa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Applied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Sciences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Volume XV, Fall, 3(69): 626-638. DOI: https://doi.org/10.14505/jaes.v15.3(69).11</w:t>
      </w:r>
    </w:p>
    <w:p w14:paraId="02AA253D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463408B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Isiksal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 Z., &amp; Türsoy, T. (2020).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Monetary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Policy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Turkey’s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Stock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Market: A New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Insight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Form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Combined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Cointegration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Test.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Asian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Finance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Management, 69-77.</w:t>
      </w:r>
    </w:p>
    <w:p w14:paraId="7EAFF4DA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F5156AB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Mohammed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Samour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A.,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Shuabiu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U. A., &amp; Türsoy, T. (2020).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Investigating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Impact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Foreign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Direct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Investment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International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Trade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Banking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Sector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Development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Nigeria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New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Combined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Cointegration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Test.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Asian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Finance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Management, 59-68.</w:t>
      </w:r>
    </w:p>
    <w:p w14:paraId="2E76A12F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812515B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Asif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Tajammal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Tursoy, Turgut,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Comparison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-Financial Analysis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Cooperative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Societies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Companies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Spain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July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15, 2020), SSRN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1C7DC44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B59C5C4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Tursoy, Turgut; Berk, Niyazi.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Stock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Return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Risk Premium: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Advanced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Studies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Finance, [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S.l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.], v. 11, n. 1, p. 5-8,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aug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. 2020.</w:t>
      </w:r>
    </w:p>
    <w:p w14:paraId="7E04B85B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6217831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Aliyu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Shuaibu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Umar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Joof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Foday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Tursoy, Turgut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Usman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Mohammed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A.M,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Investigating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Housing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Market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Bubbles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Predictive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Nature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Returns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June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19, 2020), SSRN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eJournal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D0CB077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ADA95B5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Tursoy, Turgut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Mar’i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Muhammad.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Lead-lag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relationship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money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growth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inflation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turkey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new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from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wavelet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analysis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Theoretical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practical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research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fields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[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s.l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.], v. 11, n. 1, p. 47-57,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july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2020. </w:t>
      </w:r>
    </w:p>
    <w:p w14:paraId="7EADF760" w14:textId="77777777" w:rsidR="00A7680C" w:rsidRP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A260888" w14:textId="72F807AC" w:rsidR="00A7680C" w:rsidRDefault="00A7680C" w:rsidP="00A7680C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Faisal, F., Tursoy, T., &amp;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Pervaiz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, R. (2020).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Does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ICT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lessen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CO 2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emissions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fast-emerging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economies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? An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application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heterogeneous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panel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estimations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Environmental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Science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Pollution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7680C">
        <w:rPr>
          <w:rFonts w:ascii="Times New Roman" w:hAnsi="Times New Roman" w:cs="Times New Roman"/>
          <w:color w:val="222222"/>
          <w:sz w:val="24"/>
          <w:szCs w:val="24"/>
        </w:rPr>
        <w:t>Research</w:t>
      </w:r>
      <w:proofErr w:type="spellEnd"/>
      <w:r w:rsidRPr="00A7680C">
        <w:rPr>
          <w:rFonts w:ascii="Times New Roman" w:hAnsi="Times New Roman" w:cs="Times New Roman"/>
          <w:color w:val="222222"/>
          <w:sz w:val="24"/>
          <w:szCs w:val="24"/>
        </w:rPr>
        <w:t>, 1-12.</w:t>
      </w:r>
    </w:p>
    <w:p w14:paraId="5BD3D56C" w14:textId="77777777" w:rsidR="00A7680C" w:rsidRDefault="00A7680C" w:rsidP="004034B7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38C111A" w14:textId="2022383A" w:rsidR="004034B7" w:rsidRPr="004034B7" w:rsidRDefault="004034B7" w:rsidP="004034B7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Hove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, S., &amp; Tursoy, T. (2019). An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Investigation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Environmental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Kuznets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Curve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Emerging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Economies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Cleaner</w:t>
      </w:r>
      <w:proofErr w:type="spellEnd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Production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>, 117628.</w:t>
      </w:r>
    </w:p>
    <w:p w14:paraId="1F78DD9A" w14:textId="77777777" w:rsidR="004034B7" w:rsidRPr="004034B7" w:rsidRDefault="004034B7" w:rsidP="004034B7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Abdullah, H., &amp; Tursoy, T. (2019).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Capital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structure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firm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performance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of Germany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under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IFRS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adoption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Review</w:t>
      </w:r>
      <w:proofErr w:type="spellEnd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Managerial</w:t>
      </w:r>
      <w:proofErr w:type="spellEnd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Science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>, 1-20.</w:t>
      </w:r>
    </w:p>
    <w:p w14:paraId="7ADA1789" w14:textId="77777777" w:rsidR="004034B7" w:rsidRPr="004034B7" w:rsidRDefault="004034B7" w:rsidP="004034B7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Tursoy, T., &amp; Faisal, F. (2019).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Validity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of FH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hypothesis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small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isolated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island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economy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: an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application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combined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cointegration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Asia</w:t>
      </w:r>
      <w:proofErr w:type="spellEnd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-Pacific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of Accounting &amp;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26</w:t>
      </w:r>
      <w:r w:rsidRPr="004034B7">
        <w:rPr>
          <w:rFonts w:ascii="Times New Roman" w:hAnsi="Times New Roman" w:cs="Times New Roman"/>
          <w:color w:val="222222"/>
          <w:sz w:val="24"/>
          <w:szCs w:val="24"/>
        </w:rPr>
        <w:t>(4), 478-488.</w:t>
      </w:r>
    </w:p>
    <w:p w14:paraId="1BC5E49F" w14:textId="77777777" w:rsidR="004034B7" w:rsidRPr="004034B7" w:rsidRDefault="004034B7" w:rsidP="004034B7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Kashtu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, B. A. B., Faisal, F., &amp; Tursoy, T. (2019). Nexus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Financial Development,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Trade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Openness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 Case of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</w:rPr>
        <w:t>Malaysia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Romanian</w:t>
      </w:r>
      <w:proofErr w:type="spellEnd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Statistical </w:t>
      </w:r>
      <w:proofErr w:type="spellStart"/>
      <w:r w:rsidRPr="004034B7">
        <w:rPr>
          <w:rFonts w:ascii="Times New Roman" w:hAnsi="Times New Roman" w:cs="Times New Roman"/>
          <w:i/>
          <w:iCs/>
          <w:color w:val="222222"/>
          <w:sz w:val="24"/>
          <w:szCs w:val="24"/>
        </w:rPr>
        <w:t>Review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</w:rPr>
        <w:t>, (1).</w:t>
      </w:r>
      <w:r w:rsidRPr="004034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034B7">
        <w:rPr>
          <w:rFonts w:ascii="Times New Roman" w:eastAsia="Times New Roman" w:hAnsi="Times New Roman" w:cs="Times New Roman"/>
          <w:color w:val="222222"/>
          <w:sz w:val="24"/>
          <w:szCs w:val="24"/>
        </w:rPr>
        <w:t>pp</w:t>
      </w:r>
      <w:proofErr w:type="spellEnd"/>
      <w:proofErr w:type="gramEnd"/>
      <w:r w:rsidRPr="004034B7">
        <w:rPr>
          <w:rFonts w:ascii="Times New Roman" w:eastAsia="Times New Roman" w:hAnsi="Times New Roman" w:cs="Times New Roman"/>
          <w:color w:val="222222"/>
          <w:sz w:val="24"/>
          <w:szCs w:val="24"/>
        </w:rPr>
        <w:t>. 23-39.</w:t>
      </w:r>
    </w:p>
    <w:p w14:paraId="11E0795D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>Türsoy, T., Faisal, F. (2018)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Financial Depth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North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?”, 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4:12, pp.1-13.</w:t>
      </w:r>
    </w:p>
    <w:p w14:paraId="6B9C90D7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Ndlovu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B., Faisal, F.,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Gunsel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Resatoglu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N., Türsoy, T., (2018),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A Case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Johannesburg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Exchange”,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Romanian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Statistical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2/2018,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 87-104.</w:t>
      </w:r>
    </w:p>
    <w:p w14:paraId="706D80D0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Faisal, F., Tursoy, T.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Berk, N., (2018), "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non-linear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Internet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asymmetric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 25(12), 11536-11555.</w:t>
      </w:r>
    </w:p>
    <w:p w14:paraId="33F39D61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Faisal, F., Tursoy, T.,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Gunsel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Resatoglu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N., &amp; Berk, N. (2018).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urbanisation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Research-Ekonomska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 31(1), 664-680.</w:t>
      </w:r>
    </w:p>
    <w:p w14:paraId="23E968C8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lastRenderedPageBreak/>
        <w:t xml:space="preserve">Tursoy, T., &amp; Faisal, F. (2018).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crude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ARDL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4034B7">
          <w:rPr>
            <w:rStyle w:val="Hyperlink"/>
            <w:rFonts w:ascii="Times New Roman" w:hAnsi="Times New Roman" w:cs="Times New Roman"/>
            <w:sz w:val="24"/>
            <w:szCs w:val="24"/>
          </w:rPr>
          <w:t>Volume 55</w:t>
        </w:r>
      </w:hyperlink>
      <w:r w:rsidRPr="004034B7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49-54.</w:t>
      </w:r>
    </w:p>
    <w:p w14:paraId="4C6592A1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Faisal, F., Tursoy, T., &amp;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Ercantan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O. (2017).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-Granger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test.”, 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Procedia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 120, 671-675.</w:t>
      </w:r>
    </w:p>
    <w:p w14:paraId="6FB6F963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>Türsoy, T. (2017),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Exchange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ARDL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International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 2017, 5, 8.</w:t>
      </w:r>
    </w:p>
    <w:p w14:paraId="598A2F11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Tursoy, T.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Faisal, F., (2017) “Re-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Market: An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co-integration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Romanian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Statistical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2(2017),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 43-55.</w:t>
      </w:r>
    </w:p>
    <w:p w14:paraId="253C92CB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>Türsoy, T., &amp; Faisal, F. (2017),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F-H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Small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Island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An Application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-Pacific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Accounting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 1-11.</w:t>
      </w:r>
    </w:p>
    <w:p w14:paraId="1FD833A4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Faisal, F., Türsoy, T., &amp;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N. G. (2017). Is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Financial Development,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Pakistan?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ARDL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Model. International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™, 38(2), 33-48.</w:t>
      </w:r>
    </w:p>
    <w:p w14:paraId="4441CF67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>Tursoy, T., &amp; Faisal, F. (2016).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GDP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An ARDL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Romanian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Statistical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64(4), 3-19. </w:t>
      </w:r>
    </w:p>
    <w:p w14:paraId="2BBE7E6E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F., Tursoy, T.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N., (2016),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GDP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Case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1990-2011”,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Procedia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Finance 39: 653-659 · </w:t>
      </w:r>
    </w:p>
    <w:p w14:paraId="46051DE6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F., Tursoy, T.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N., (2016), “Do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? An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G-7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Procedia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Finance 39: 510-519 · </w:t>
      </w:r>
    </w:p>
    <w:p w14:paraId="4D58D586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Currency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Crises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Fundamentals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Speculative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Analysis,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Nil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Husam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Rjoub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Business Management.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4(6),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972-978,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64044EC4" w14:textId="77777777" w:rsidR="00897EF0" w:rsidRPr="004034B7" w:rsidRDefault="00897EF0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44EB449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>7.2</w:t>
      </w:r>
      <w:r w:rsidRPr="004034B7">
        <w:rPr>
          <w:rFonts w:ascii="Times New Roman" w:hAnsi="Times New Roman" w:cs="Times New Roman"/>
          <w:sz w:val="24"/>
          <w:szCs w:val="24"/>
        </w:rPr>
        <w:t>. Uluslararası diğer hakemli dergilerde yayınlanan makaleler</w:t>
      </w:r>
    </w:p>
    <w:p w14:paraId="2A670A65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lastRenderedPageBreak/>
        <w:t xml:space="preserve">Faisal, F., Türsoy, T.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N., (2017) “Is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-Led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an ARDL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5(1), 110-117.</w:t>
      </w:r>
    </w:p>
    <w:p w14:paraId="4E068F2B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Faisal, F.,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P. M., Tursoy, T., (2016),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Financial Development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Time Series Analysis”, International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6(4),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 1998-2006.</w:t>
      </w:r>
    </w:p>
    <w:p w14:paraId="6CAF5396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Alrub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A. A., Tursoy, T.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Rjoub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H., (2016),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Long-run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Short-run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Market?”,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Volume 2016 (2016),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ID 917071.</w:t>
      </w:r>
    </w:p>
    <w:p w14:paraId="1D26A212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Nil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Husam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Rjoub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Finance,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26,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1, 2009, 36-45. </w:t>
      </w:r>
    </w:p>
    <w:p w14:paraId="6E245AB0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APT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Nil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Husam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Rjoub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Finance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22,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2008, 49-57. </w:t>
      </w:r>
    </w:p>
    <w:p w14:paraId="03B7FD17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053E" w14:textId="77777777" w:rsidR="001D62E7" w:rsidRPr="004034B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4034B7">
        <w:rPr>
          <w:rFonts w:ascii="Times New Roman" w:hAnsi="Times New Roman" w:cs="Times New Roman"/>
          <w:sz w:val="24"/>
          <w:szCs w:val="24"/>
        </w:rPr>
        <w:t>Uluslararası bilimsel toplantılarda sunulan ve bildiri kitabında</w:t>
      </w:r>
      <w:r w:rsidR="00CA5642" w:rsidRPr="0040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4034B7">
        <w:rPr>
          <w:rFonts w:ascii="Times New Roman" w:hAnsi="Times New Roman" w:cs="Times New Roman"/>
          <w:sz w:val="24"/>
          <w:szCs w:val="24"/>
        </w:rPr>
        <w:t>basılan bildiriler</w:t>
      </w:r>
    </w:p>
    <w:p w14:paraId="5856E39A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Urbanization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Turkey’s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CO2 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Combine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Asymmetric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Test. Faisal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Faisal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Turgut Türsoy,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Shahbaz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Nesrin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Özataç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1st International Conference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Finance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(ICEFM)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Montpellier Business School, Montpellier, France,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22-24, 2017. </w:t>
      </w:r>
    </w:p>
    <w:p w14:paraId="1866811C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non-granger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Faisal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Faisal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Özlem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Ercantan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9th International Conference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Application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Computing, Computing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ICSCCW 2017,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22-23, 2017,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3D3CF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-led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An ARDL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bound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Faisal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Nil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5th World Conference on Business,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Management, May 12-14, 2016, Antalya,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</w:t>
      </w:r>
    </w:p>
    <w:p w14:paraId="09916E5D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? An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G-7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Faisal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Nil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3rd Global Conference on Business,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Management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26-28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2015, Rome,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</w:t>
      </w:r>
    </w:p>
    <w:p w14:paraId="2B43A82C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lastRenderedPageBreak/>
        <w:t>Energy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GDP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1990-2011, Faisal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Nil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3rd Global Conference on Business,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Management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26-28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2015, Rome,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</w:t>
      </w:r>
    </w:p>
    <w:p w14:paraId="5D977746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Converge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34B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Ahmad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Abualrub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Husam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Rjoub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25th IBIMA Conference at Amsterdam,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, May 7-8 2015. </w:t>
      </w:r>
    </w:p>
    <w:p w14:paraId="16C7A9B9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KKTC’deki yatırımlarda kamu ve finans sektörlerinin değerlendirilmesi,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Fehiman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Eminer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International Conference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11-13, 2006. </w:t>
      </w:r>
    </w:p>
    <w:p w14:paraId="04C6EA43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5CDD3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4034B7">
        <w:rPr>
          <w:rFonts w:ascii="Times New Roman" w:hAnsi="Times New Roman" w:cs="Times New Roman"/>
          <w:sz w:val="24"/>
          <w:szCs w:val="24"/>
        </w:rPr>
        <w:t>Yazılan uluslararası kitaplar veya kitaplarda bölümler</w:t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860E6B" w14:textId="77777777" w:rsidR="00897EF0" w:rsidRPr="004034B7" w:rsidRDefault="00897EF0" w:rsidP="00897EF0">
      <w:pPr>
        <w:spacing w:after="0" w:line="240" w:lineRule="auto"/>
        <w:ind w:left="708"/>
        <w:outlineLvl w:val="1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Financial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Pakistan: A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Faisal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Nil Günsel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Reşatoğlu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LAP LAMBERT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Publishing, Germany, 2016.</w:t>
      </w:r>
    </w:p>
    <w:p w14:paraId="02E3CE88" w14:textId="77777777" w:rsidR="00897EF0" w:rsidRPr="004034B7" w:rsidRDefault="00897EF0" w:rsidP="00897EF0">
      <w:pPr>
        <w:spacing w:after="0" w:line="240" w:lineRule="auto"/>
        <w:ind w:left="708"/>
        <w:outlineLvl w:val="1"/>
        <w:rPr>
          <w:rFonts w:ascii="Times New Roman" w:hAnsi="Times New Roman" w:cs="Times New Roman"/>
          <w:color w:val="949494"/>
          <w:spacing w:val="-60"/>
          <w:sz w:val="24"/>
          <w:szCs w:val="24"/>
        </w:rPr>
      </w:pPr>
    </w:p>
    <w:p w14:paraId="7876D899" w14:textId="77777777" w:rsidR="00897EF0" w:rsidRPr="004034B7" w:rsidRDefault="00897EF0" w:rsidP="00897EF0">
      <w:pPr>
        <w:spacing w:after="0" w:line="240" w:lineRule="auto"/>
        <w:ind w:left="708"/>
        <w:outlineLvl w:val="1"/>
        <w:rPr>
          <w:rFonts w:ascii="Times New Roman" w:hAnsi="Times New Roman" w:cs="Times New Roman"/>
          <w:color w:val="949494"/>
          <w:spacing w:val="-60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A Time Series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LAP LAMBERT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Publishing, Germany, 2015</w:t>
      </w:r>
      <w:r w:rsidRPr="004034B7">
        <w:rPr>
          <w:rFonts w:ascii="Times New Roman" w:hAnsi="Times New Roman" w:cs="Times New Roman"/>
          <w:color w:val="949494"/>
          <w:sz w:val="24"/>
          <w:szCs w:val="24"/>
        </w:rPr>
        <w:t>.</w:t>
      </w:r>
    </w:p>
    <w:p w14:paraId="02605156" w14:textId="77777777" w:rsidR="00897EF0" w:rsidRPr="004034B7" w:rsidRDefault="00897EF0" w:rsidP="00897EF0">
      <w:pPr>
        <w:spacing w:after="0" w:line="240" w:lineRule="auto"/>
        <w:ind w:left="708"/>
        <w:outlineLvl w:val="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1CFC13" w14:textId="77777777" w:rsidR="00897EF0" w:rsidRPr="004034B7" w:rsidRDefault="00897EF0" w:rsidP="00897EF0">
      <w:pPr>
        <w:spacing w:after="0" w:line="240" w:lineRule="auto"/>
        <w:ind w:left="708"/>
        <w:outlineLvl w:val="1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: Using Time Series Analysis, LAP LAMBERT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Publishing, Germany, 2014.</w:t>
      </w:r>
    </w:p>
    <w:p w14:paraId="26FF48B6" w14:textId="77777777" w:rsidR="00897EF0" w:rsidRPr="004034B7" w:rsidRDefault="00897EF0" w:rsidP="00897EF0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14:paraId="2A953680" w14:textId="77777777" w:rsidR="00897EF0" w:rsidRPr="004034B7" w:rsidRDefault="00897EF0" w:rsidP="00897EF0">
      <w:pPr>
        <w:spacing w:after="0" w:line="285" w:lineRule="atLeast"/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Return: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Exchange “ISE”, LAP LAMBERT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Publishing, Germany, 2012.</w:t>
      </w:r>
    </w:p>
    <w:p w14:paraId="395891CF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E8CB7" w14:textId="77777777" w:rsidR="00FE17D0" w:rsidRPr="004034B7" w:rsidRDefault="00FE17D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90C25" w14:textId="77777777" w:rsidR="00FE17D0" w:rsidRPr="004034B7" w:rsidRDefault="00FE17D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E39BBD" w14:textId="77777777" w:rsidR="00FE17D0" w:rsidRPr="004034B7" w:rsidRDefault="00FE17D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A999F" w14:textId="77777777" w:rsidR="00FE17D0" w:rsidRPr="004034B7" w:rsidRDefault="00FE17D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43B2F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4034B7">
        <w:rPr>
          <w:rFonts w:ascii="Times New Roman" w:hAnsi="Times New Roman" w:cs="Times New Roman"/>
          <w:sz w:val="24"/>
          <w:szCs w:val="24"/>
        </w:rPr>
        <w:t>Ulusal hakemli dergilerde yayınlanan makaleler</w:t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9F4C6B" w14:textId="77777777" w:rsidR="00897EF0" w:rsidRPr="004034B7" w:rsidRDefault="00897EF0" w:rsidP="00897EF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Awwad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T. A.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Türsoy, T., (2016), “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Index: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Market”, NEU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9,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>. 168-190.</w:t>
      </w:r>
    </w:p>
    <w:p w14:paraId="2D43969D" w14:textId="77777777" w:rsidR="00897EF0" w:rsidRPr="004034B7" w:rsidRDefault="00897EF0" w:rsidP="00897EF0">
      <w:pPr>
        <w:tabs>
          <w:tab w:val="num" w:pos="360"/>
        </w:tabs>
        <w:spacing w:before="120" w:after="120"/>
        <w:ind w:left="7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Forecasting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Rate: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Case of North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. 6, </w:t>
      </w:r>
      <w:r w:rsidRPr="0040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193-207, April 2013 </w:t>
      </w:r>
    </w:p>
    <w:p w14:paraId="14F5D489" w14:textId="77777777" w:rsidR="00897EF0" w:rsidRPr="004034B7" w:rsidRDefault="00897EF0" w:rsidP="00897E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>Sermaye Hesabı Liberalizasyonu: Teorik Bir İnceleme, Doğuş Üniversitesi Dergisi, 9 (2) 2008, 217-231.</w:t>
      </w:r>
    </w:p>
    <w:p w14:paraId="35E75AE5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6D5D7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Pr="004034B7">
        <w:rPr>
          <w:rFonts w:ascii="Times New Roman" w:hAnsi="Times New Roman" w:cs="Times New Roman"/>
          <w:sz w:val="24"/>
          <w:szCs w:val="24"/>
        </w:rPr>
        <w:t>Ulusal bilimsel toplantılarda sunulan ve bildiri kitabında basılan bildiriler</w:t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659FE" w14:textId="77777777" w:rsidR="00003BD3" w:rsidRPr="004034B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7.7. </w:t>
      </w:r>
      <w:r w:rsidRPr="004034B7">
        <w:rPr>
          <w:rFonts w:ascii="Times New Roman" w:hAnsi="Times New Roman" w:cs="Times New Roman"/>
          <w:sz w:val="24"/>
          <w:szCs w:val="24"/>
        </w:rPr>
        <w:t>Diğer yayınlar</w:t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074AA6" w14:textId="77777777" w:rsidR="00897EF0" w:rsidRPr="004034B7" w:rsidRDefault="00897EF0" w:rsidP="00897EF0">
      <w:pPr>
        <w:spacing w:before="100" w:after="100"/>
        <w:ind w:left="70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Tursoy, T., Faisal, F., Berk, N., &amp;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Shahbaz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(2018). How do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Stock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Prices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Metal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Prices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Contribute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Economic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Activity in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Turkey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Importance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Linear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Non-linear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ARDL. MPRA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88899</w:t>
      </w:r>
      <w:r w:rsidRPr="004034B7">
        <w:rPr>
          <w:rFonts w:ascii="Times New Roman" w:hAnsi="Times New Roman" w:cs="Times New Roman"/>
          <w:color w:val="808080"/>
          <w:sz w:val="24"/>
          <w:szCs w:val="24"/>
          <w:lang w:val="en-US"/>
        </w:rPr>
        <w:t>,</w:t>
      </w:r>
    </w:p>
    <w:p w14:paraId="29C7B94B" w14:textId="77777777" w:rsidR="00897EF0" w:rsidRPr="004034B7" w:rsidRDefault="00897EF0" w:rsidP="00897EF0">
      <w:pPr>
        <w:spacing w:before="100" w:after="1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E1C36CE" w14:textId="77777777" w:rsidR="00897EF0" w:rsidRPr="004034B7" w:rsidRDefault="00897EF0" w:rsidP="00897EF0">
      <w:pPr>
        <w:spacing w:before="100" w:after="100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Tursoy, T. (2018).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dynamic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relationship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Financial Development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Energy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North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Cyprus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Evidence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ARDL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Bounds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Combine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Cointegration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Tests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MPRA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</w:t>
      </w:r>
      <w:r w:rsidRPr="004034B7">
        <w:rPr>
          <w:rFonts w:ascii="Times New Roman" w:hAnsi="Times New Roman" w:cs="Times New Roman"/>
          <w:sz w:val="24"/>
          <w:szCs w:val="24"/>
        </w:rPr>
        <w:t xml:space="preserve"> 88324.</w:t>
      </w:r>
    </w:p>
    <w:p w14:paraId="4B6F5E64" w14:textId="77777777" w:rsidR="00897EF0" w:rsidRPr="004034B7" w:rsidRDefault="00897EF0" w:rsidP="00897EF0">
      <w:pPr>
        <w:spacing w:before="100" w:after="100"/>
        <w:jc w:val="both"/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850F5A" w14:textId="77777777" w:rsidR="00897EF0" w:rsidRPr="004034B7" w:rsidRDefault="00897EF0" w:rsidP="00897EF0">
      <w:pPr>
        <w:spacing w:before="100" w:after="100"/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4B7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Tursoy, T.</w:t>
      </w:r>
      <w:r w:rsidRPr="0040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(2018),</w:t>
      </w:r>
      <w:r w:rsidRPr="004034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“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roles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sector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private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sector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North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Cyprus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Empirical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evidence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Markov </w:t>
      </w:r>
      <w:proofErr w:type="spellStart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Switching</w:t>
      </w:r>
      <w:proofErr w:type="spellEnd"/>
      <w:r w:rsidRPr="004034B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MPRA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</w:t>
      </w:r>
      <w:r w:rsidRPr="0040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87729.</w:t>
      </w:r>
    </w:p>
    <w:p w14:paraId="2DAAAE30" w14:textId="77777777" w:rsidR="00897EF0" w:rsidRPr="004034B7" w:rsidRDefault="00897EF0" w:rsidP="00897EF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7E92DA6" w14:textId="77777777" w:rsidR="00897EF0" w:rsidRPr="004034B7" w:rsidRDefault="00897EF0" w:rsidP="00897EF0">
      <w:pPr>
        <w:spacing w:before="100" w:after="10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 xml:space="preserve">Tursoy, T. (2018), "Risk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4034B7">
        <w:rPr>
          <w:rFonts w:ascii="Times New Roman" w:hAnsi="Times New Roman" w:cs="Times New Roman"/>
          <w:sz w:val="24"/>
          <w:szCs w:val="24"/>
        </w:rPr>
        <w:t xml:space="preserve">", </w:t>
      </w:r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MPRA </w:t>
      </w:r>
      <w:proofErr w:type="spellStart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</w:t>
      </w:r>
      <w:proofErr w:type="spellEnd"/>
      <w:r w:rsidRPr="00403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</w:t>
      </w:r>
      <w:r w:rsidRPr="004034B7">
        <w:rPr>
          <w:rFonts w:ascii="Times New Roman" w:hAnsi="Times New Roman" w:cs="Times New Roman"/>
          <w:sz w:val="24"/>
          <w:szCs w:val="24"/>
        </w:rPr>
        <w:t>86427.</w:t>
      </w:r>
    </w:p>
    <w:p w14:paraId="1788F45A" w14:textId="77777777" w:rsidR="00897EF0" w:rsidRPr="004034B7" w:rsidRDefault="00897EF0" w:rsidP="0089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12D943" w14:textId="77777777" w:rsidR="00003BD3" w:rsidRPr="004034B7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>8.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14:paraId="7A25E4DC" w14:textId="77777777" w:rsidR="00897EF0" w:rsidRPr="004034B7" w:rsidRDefault="00897EF0" w:rsidP="00897EF0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</w:p>
    <w:p w14:paraId="1AC9C023" w14:textId="77777777" w:rsidR="00897EF0" w:rsidRPr="004034B7" w:rsidRDefault="00FE17D0" w:rsidP="00897EF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BAP: </w:t>
      </w:r>
      <w:proofErr w:type="spellStart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Yakın</w:t>
      </w:r>
      <w:proofErr w:type="spellEnd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Doğu </w:t>
      </w:r>
      <w:proofErr w:type="spellStart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Üniversitesi</w:t>
      </w:r>
      <w:proofErr w:type="spellEnd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</w:t>
      </w:r>
      <w:proofErr w:type="spellEnd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no.</w:t>
      </w:r>
      <w:r w:rsidRPr="00403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7EF0"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SOS-2017-</w:t>
      </w:r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2-009,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Yöneticisi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Doç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Turgut Türsoy, </w:t>
      </w:r>
    </w:p>
    <w:p w14:paraId="48DCCE10" w14:textId="77777777" w:rsidR="00897EF0" w:rsidRPr="004034B7" w:rsidRDefault="00897EF0" w:rsidP="00897EF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DA235D" w14:textId="77777777" w:rsidR="00897EF0" w:rsidRPr="004034B7" w:rsidRDefault="00FE17D0" w:rsidP="00FE17D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BAP: </w:t>
      </w:r>
      <w:proofErr w:type="spellStart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Yakın</w:t>
      </w:r>
      <w:proofErr w:type="spellEnd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Doğu </w:t>
      </w:r>
      <w:proofErr w:type="spellStart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Üniversitesi</w:t>
      </w:r>
      <w:proofErr w:type="spellEnd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</w:t>
      </w:r>
      <w:proofErr w:type="spellEnd"/>
      <w:r w:rsidRPr="004034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no.</w:t>
      </w:r>
      <w:r w:rsidRPr="00403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SOS-2017-2-010,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Yöneticisi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Faisal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Faisal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Danışman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Doç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proofErr w:type="spellEnd"/>
      <w:r w:rsidRPr="0040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Turgut Türsoy.</w:t>
      </w:r>
    </w:p>
    <w:p w14:paraId="208B81AD" w14:textId="77777777" w:rsidR="00897EF0" w:rsidRPr="004034B7" w:rsidRDefault="00897EF0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A89FD" w14:textId="77777777" w:rsidR="00CA5642" w:rsidRPr="004034B7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C74F9" w14:textId="77777777" w:rsidR="00003BD3" w:rsidRPr="004034B7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14:paraId="27702191" w14:textId="77777777" w:rsidR="00FE17D0" w:rsidRPr="004034B7" w:rsidRDefault="00FE17D0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4787E" w14:textId="77777777" w:rsidR="00582370" w:rsidRPr="004034B7" w:rsidRDefault="00FE17D0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r w:rsidR="00582370" w:rsidRPr="004034B7">
        <w:rPr>
          <w:rFonts w:ascii="Times New Roman" w:hAnsi="Times New Roman" w:cs="Times New Roman"/>
          <w:b/>
          <w:sz w:val="24"/>
          <w:szCs w:val="24"/>
        </w:rPr>
        <w:t xml:space="preserve">Bankacılık ve Finans: </w:t>
      </w:r>
      <w:r w:rsidR="00582370" w:rsidRPr="004034B7">
        <w:rPr>
          <w:rFonts w:ascii="Times New Roman" w:hAnsi="Times New Roman" w:cs="Times New Roman"/>
          <w:bCs/>
          <w:sz w:val="24"/>
          <w:szCs w:val="24"/>
        </w:rPr>
        <w:t>Bölüm Başkanı</w:t>
      </w:r>
    </w:p>
    <w:p w14:paraId="734F3D52" w14:textId="77777777" w:rsidR="00FE17D0" w:rsidRPr="004034B7" w:rsidRDefault="00FE17D0" w:rsidP="005823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Dış Ticaret Bölümü: </w:t>
      </w:r>
      <w:r w:rsidRPr="004034B7">
        <w:rPr>
          <w:rFonts w:ascii="Times New Roman" w:hAnsi="Times New Roman" w:cs="Times New Roman"/>
          <w:sz w:val="24"/>
          <w:szCs w:val="24"/>
        </w:rPr>
        <w:t>Bölüm Başkanı</w:t>
      </w:r>
    </w:p>
    <w:p w14:paraId="41F0562F" w14:textId="77777777" w:rsidR="00FE17D0" w:rsidRPr="004034B7" w:rsidRDefault="00FE17D0" w:rsidP="00CA5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Bankacılık ve Sigortacılık: </w:t>
      </w:r>
      <w:r w:rsidRPr="004034B7">
        <w:rPr>
          <w:rFonts w:ascii="Times New Roman" w:hAnsi="Times New Roman" w:cs="Times New Roman"/>
          <w:sz w:val="24"/>
          <w:szCs w:val="24"/>
        </w:rPr>
        <w:t>Bölüm Başkanı</w:t>
      </w:r>
    </w:p>
    <w:p w14:paraId="3C270DC9" w14:textId="77777777" w:rsidR="00FE17D0" w:rsidRPr="004034B7" w:rsidRDefault="00FE17D0" w:rsidP="00CA5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ÇAP Koordinatörlüğü: </w:t>
      </w:r>
      <w:r w:rsidRPr="004034B7">
        <w:rPr>
          <w:rFonts w:ascii="Times New Roman" w:hAnsi="Times New Roman" w:cs="Times New Roman"/>
          <w:sz w:val="24"/>
          <w:szCs w:val="24"/>
        </w:rPr>
        <w:t>İktisadi ve İdari Bilimler Fakültesi ÇAP Koordinatörü</w:t>
      </w:r>
    </w:p>
    <w:p w14:paraId="4148A126" w14:textId="77777777" w:rsidR="00FE17D0" w:rsidRPr="004034B7" w:rsidRDefault="00FE17D0" w:rsidP="00CA5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Pr="004034B7">
        <w:rPr>
          <w:rFonts w:ascii="Times New Roman" w:hAnsi="Times New Roman" w:cs="Times New Roman"/>
          <w:sz w:val="24"/>
          <w:szCs w:val="24"/>
        </w:rPr>
        <w:t>: Meslek Yüksekokulu Yönetim Kurulu Üyesi</w:t>
      </w:r>
    </w:p>
    <w:p w14:paraId="1A5B1370" w14:textId="77777777" w:rsidR="00FE17D0" w:rsidRPr="004034B7" w:rsidRDefault="00FE17D0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</w:p>
    <w:p w14:paraId="330560FE" w14:textId="77777777" w:rsidR="00CA5642" w:rsidRPr="004034B7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6B7AD" w14:textId="77777777" w:rsidR="00CA5642" w:rsidRPr="004034B7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</w:p>
    <w:p w14:paraId="2FA16C06" w14:textId="77777777" w:rsidR="00003BD3" w:rsidRPr="004034B7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9E58A" w14:textId="77777777" w:rsidR="00003BD3" w:rsidRPr="004034B7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034B7">
        <w:rPr>
          <w:rFonts w:ascii="Times New Roman" w:hAnsi="Times New Roman" w:cs="Times New Roman"/>
          <w:b/>
          <w:sz w:val="24"/>
          <w:szCs w:val="24"/>
        </w:rPr>
        <w:tab/>
        <w:t xml:space="preserve">Ödüller </w:t>
      </w:r>
    </w:p>
    <w:p w14:paraId="1CA7C44A" w14:textId="77777777" w:rsidR="00FE17D0" w:rsidRPr="004034B7" w:rsidRDefault="00FE17D0" w:rsidP="00CA5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sz w:val="24"/>
          <w:szCs w:val="24"/>
        </w:rPr>
        <w:t>Yakın Doğu Üniversitesi 2010 yılı yayın ödülü</w:t>
      </w:r>
    </w:p>
    <w:p w14:paraId="6B220699" w14:textId="77777777" w:rsidR="00FE17D0" w:rsidRPr="004034B7" w:rsidRDefault="00FE17D0" w:rsidP="00FE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sz w:val="24"/>
          <w:szCs w:val="24"/>
        </w:rPr>
        <w:tab/>
        <w:t>Yakın Doğu Üniversitesi 2017 yılı yayın ödülü</w:t>
      </w:r>
    </w:p>
    <w:p w14:paraId="136412DF" w14:textId="1F9FB1EA" w:rsidR="00FE17D0" w:rsidRPr="00A7680C" w:rsidRDefault="00A7680C" w:rsidP="00CA5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680C">
        <w:rPr>
          <w:rFonts w:ascii="Times New Roman" w:hAnsi="Times New Roman" w:cs="Times New Roman"/>
          <w:bCs/>
          <w:sz w:val="24"/>
          <w:szCs w:val="24"/>
        </w:rPr>
        <w:t>Yakın Doğu Üniversitesi 20</w:t>
      </w:r>
      <w:r w:rsidRPr="00A7680C">
        <w:rPr>
          <w:rFonts w:ascii="Times New Roman" w:hAnsi="Times New Roman" w:cs="Times New Roman"/>
          <w:bCs/>
          <w:sz w:val="24"/>
          <w:szCs w:val="24"/>
        </w:rPr>
        <w:t>21</w:t>
      </w:r>
      <w:r w:rsidRPr="00A7680C">
        <w:rPr>
          <w:rFonts w:ascii="Times New Roman" w:hAnsi="Times New Roman" w:cs="Times New Roman"/>
          <w:bCs/>
          <w:sz w:val="24"/>
          <w:szCs w:val="24"/>
        </w:rPr>
        <w:t xml:space="preserve"> yılı yayın ödülü</w:t>
      </w:r>
    </w:p>
    <w:p w14:paraId="60076105" w14:textId="32E8DFA7" w:rsidR="00A7680C" w:rsidRPr="00A7680C" w:rsidRDefault="00A7680C" w:rsidP="00CA56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680C">
        <w:rPr>
          <w:rFonts w:ascii="Times New Roman" w:hAnsi="Times New Roman" w:cs="Times New Roman"/>
          <w:bCs/>
          <w:sz w:val="24"/>
          <w:szCs w:val="24"/>
        </w:rPr>
        <w:tab/>
      </w:r>
      <w:r w:rsidRPr="00A7680C">
        <w:rPr>
          <w:rFonts w:ascii="Times New Roman" w:hAnsi="Times New Roman" w:cs="Times New Roman"/>
          <w:bCs/>
          <w:sz w:val="24"/>
          <w:szCs w:val="24"/>
        </w:rPr>
        <w:t>Yakın Doğu Üniversitesi 20</w:t>
      </w:r>
      <w:r w:rsidRPr="00A7680C">
        <w:rPr>
          <w:rFonts w:ascii="Times New Roman" w:hAnsi="Times New Roman" w:cs="Times New Roman"/>
          <w:bCs/>
          <w:sz w:val="24"/>
          <w:szCs w:val="24"/>
        </w:rPr>
        <w:t>22</w:t>
      </w:r>
      <w:r w:rsidRPr="00A7680C">
        <w:rPr>
          <w:rFonts w:ascii="Times New Roman" w:hAnsi="Times New Roman" w:cs="Times New Roman"/>
          <w:bCs/>
          <w:sz w:val="24"/>
          <w:szCs w:val="24"/>
        </w:rPr>
        <w:t xml:space="preserve"> yılı yayın ödülü</w:t>
      </w:r>
    </w:p>
    <w:p w14:paraId="0134AF16" w14:textId="77777777" w:rsidR="00CA5642" w:rsidRPr="004034B7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2D89B3" w14:textId="77777777" w:rsidR="00C164E9" w:rsidRPr="004034B7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64E9" w:rsidRPr="004034B7">
        <w:rPr>
          <w:rFonts w:ascii="Times New Roman" w:hAnsi="Times New Roman" w:cs="Times New Roman"/>
          <w:b/>
          <w:sz w:val="24"/>
          <w:szCs w:val="24"/>
        </w:rPr>
        <w:tab/>
      </w:r>
      <w:r w:rsidRPr="004034B7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p w14:paraId="37088666" w14:textId="77777777" w:rsidR="00582370" w:rsidRPr="004034B7" w:rsidRDefault="00582370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062"/>
        <w:gridCol w:w="2520"/>
        <w:gridCol w:w="1440"/>
        <w:gridCol w:w="1115"/>
        <w:gridCol w:w="1333"/>
      </w:tblGrid>
      <w:tr w:rsidR="00582370" w:rsidRPr="004034B7" w14:paraId="79D42E01" w14:textId="77777777" w:rsidTr="00D50FCF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18CB59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Akademik </w:t>
            </w:r>
            <w:proofErr w:type="spell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Yıl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B3DFC70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0A05C4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Ders </w:t>
            </w:r>
            <w:proofErr w:type="spell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911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Haftalık</w:t>
            </w:r>
            <w:proofErr w:type="spellEnd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Saat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44BB5A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Sayısı</w:t>
            </w:r>
            <w:proofErr w:type="spellEnd"/>
          </w:p>
        </w:tc>
      </w:tr>
      <w:tr w:rsidR="00582370" w:rsidRPr="004034B7" w14:paraId="662A580F" w14:textId="77777777" w:rsidTr="00D50FCF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F5D30C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0AE68C7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DF63F9C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AF308AF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Teori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8A0EBAE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Uygulama</w:t>
            </w:r>
            <w:proofErr w:type="spellEnd"/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07E3E56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370" w:rsidRPr="004034B7" w14:paraId="5041BB7B" w14:textId="77777777" w:rsidTr="00D50FCF"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12A18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2018-2019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88ABF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Güz</w:t>
            </w:r>
            <w:proofErr w:type="spellEnd"/>
          </w:p>
          <w:p w14:paraId="3B2FABC9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20A0" w14:textId="219D2A58" w:rsidR="00582370" w:rsidRPr="004034B7" w:rsidRDefault="00582370" w:rsidP="00D5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577" w14:textId="5A7DA7DA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9D2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A9F" w14:textId="2AD8CEAE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370" w:rsidRPr="004034B7" w14:paraId="10174445" w14:textId="77777777" w:rsidTr="00D50FC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FBC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EECE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E75" w14:textId="2A672E33" w:rsidR="00582370" w:rsidRPr="004034B7" w:rsidRDefault="00A7680C" w:rsidP="00D5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Fundamentals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C21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EB9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5CA" w14:textId="0D857941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768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82370" w:rsidRPr="004034B7" w14:paraId="7216E313" w14:textId="77777777" w:rsidTr="00D50FC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D565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64B9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FAA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 Management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A4E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277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A16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582370" w:rsidRPr="004034B7" w14:paraId="6ADE3B9A" w14:textId="77777777" w:rsidTr="00D50FC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BDF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D07A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28A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Quantitative Meth. In Finance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725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634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8D5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582370" w:rsidRPr="004034B7" w14:paraId="1EAC620D" w14:textId="77777777" w:rsidTr="00D50FC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762F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D100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41C45D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71C0C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BC04A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CBF1C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370" w:rsidRPr="004034B7" w14:paraId="573F59F4" w14:textId="77777777" w:rsidTr="00D50FC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A4E22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45E26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2C8B95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39A50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73B7F8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574D2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370" w:rsidRPr="004034B7" w14:paraId="514B903E" w14:textId="77777777" w:rsidTr="00D50FC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D24A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222E6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Bahar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601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Advance Theory of Finance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3E7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43D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38B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582370" w:rsidRPr="004034B7" w14:paraId="052D96D8" w14:textId="77777777" w:rsidTr="00D50FCF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7A51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6B36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522" w14:textId="0D121D82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67B" w14:textId="451D38A0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3B7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D97" w14:textId="53642CF3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370" w:rsidRPr="004034B7" w14:paraId="02D397C8" w14:textId="77777777" w:rsidTr="00D50FCF">
        <w:trPr>
          <w:trHeight w:val="28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9FE8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4D0A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698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Portfolio Management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684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2DE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B1D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582370" w:rsidRPr="004034B7" w14:paraId="1AC6D9ED" w14:textId="77777777" w:rsidTr="00D50FCF">
        <w:trPr>
          <w:trHeight w:val="18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8B08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C6E4C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9E0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Economics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618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9F6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B00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</w:tr>
      <w:tr w:rsidR="00582370" w:rsidRPr="004034B7" w14:paraId="18AF0283" w14:textId="77777777" w:rsidTr="00D50FCF">
        <w:trPr>
          <w:trHeight w:val="18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144A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47C1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E08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75C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EB8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876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370" w:rsidRPr="004034B7" w14:paraId="19387F3F" w14:textId="77777777" w:rsidTr="00D50FCF">
        <w:trPr>
          <w:trHeight w:val="181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58C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2A0C" w14:textId="77777777" w:rsidR="00582370" w:rsidRPr="004034B7" w:rsidRDefault="00582370" w:rsidP="00D50F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56B" w14:textId="77777777" w:rsidR="00582370" w:rsidRPr="004034B7" w:rsidRDefault="00582370" w:rsidP="00D50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BC3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547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BAD" w14:textId="77777777" w:rsidR="00582370" w:rsidRPr="004034B7" w:rsidRDefault="00582370" w:rsidP="00D50F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7764DBC" w14:textId="77777777" w:rsidR="00582370" w:rsidRPr="004034B7" w:rsidRDefault="00582370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14:paraId="0090E178" w14:textId="77777777" w:rsidR="001D62E7" w:rsidRPr="004034B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14:paraId="51266699" w14:textId="77777777" w:rsidR="00FF05A5" w:rsidRPr="004034B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>Not:</w:t>
      </w:r>
      <w:r w:rsidRPr="004034B7">
        <w:rPr>
          <w:rFonts w:ascii="Times New Roman" w:hAnsi="Times New Roman" w:cs="Times New Roman"/>
          <w:sz w:val="24"/>
          <w:szCs w:val="24"/>
        </w:rPr>
        <w:t xml:space="preserve"> Açılmışsa, yaz döneminde verilen dersler de tabloya ilave edilecektir.</w:t>
      </w:r>
    </w:p>
    <w:sectPr w:rsidR="00FF05A5" w:rsidRPr="004034B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C9D"/>
    <w:multiLevelType w:val="hybridMultilevel"/>
    <w:tmpl w:val="B28071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25F7"/>
    <w:multiLevelType w:val="hybridMultilevel"/>
    <w:tmpl w:val="C046D482"/>
    <w:lvl w:ilvl="0" w:tplc="A7341B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972064">
    <w:abstractNumId w:val="1"/>
  </w:num>
  <w:num w:numId="2" w16cid:durableId="110568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yNDQzsjQ3MTI3szBU0lEKTi0uzszPAykwqgUA9g4tESwAAAA="/>
  </w:docVars>
  <w:rsids>
    <w:rsidRoot w:val="00003BD3"/>
    <w:rsid w:val="000024B8"/>
    <w:rsid w:val="00003BD3"/>
    <w:rsid w:val="001D62E7"/>
    <w:rsid w:val="0022289C"/>
    <w:rsid w:val="0038360C"/>
    <w:rsid w:val="003E7BAD"/>
    <w:rsid w:val="004034B7"/>
    <w:rsid w:val="00551357"/>
    <w:rsid w:val="00582370"/>
    <w:rsid w:val="005D5347"/>
    <w:rsid w:val="00790380"/>
    <w:rsid w:val="007C4BA5"/>
    <w:rsid w:val="00897EF0"/>
    <w:rsid w:val="00A7680C"/>
    <w:rsid w:val="00C164E9"/>
    <w:rsid w:val="00CA5642"/>
    <w:rsid w:val="00EA27FD"/>
    <w:rsid w:val="00FE17D0"/>
    <w:rsid w:val="00FF05A5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55C"/>
  <w15:docId w15:val="{B774DBCE-F87A-4F91-9731-DD17DF3D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7EF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897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897EF0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897EF0"/>
  </w:style>
  <w:style w:type="character" w:styleId="Emphasis">
    <w:name w:val="Emphasis"/>
    <w:basedOn w:val="DefaultParagraphFont"/>
    <w:uiPriority w:val="20"/>
    <w:qFormat/>
    <w:rsid w:val="00897EF0"/>
    <w:rPr>
      <w:i/>
      <w:iCs/>
    </w:rPr>
  </w:style>
  <w:style w:type="paragraph" w:styleId="ListParagraph">
    <w:name w:val="List Paragraph"/>
    <w:basedOn w:val="Normal"/>
    <w:uiPriority w:val="34"/>
    <w:qFormat/>
    <w:rsid w:val="00897EF0"/>
    <w:pPr>
      <w:ind w:left="720"/>
      <w:contextualSpacing/>
    </w:pPr>
    <w:rPr>
      <w:rFonts w:eastAsiaTheme="minorEastAsia"/>
      <w:lang w:val="en-GB" w:eastAsia="en-GB"/>
    </w:rPr>
  </w:style>
  <w:style w:type="paragraph" w:styleId="NormalWeb">
    <w:name w:val="Normal (Web)"/>
    <w:basedOn w:val="Normal"/>
    <w:rsid w:val="00582370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journal/03014207/55/supp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2897</Words>
  <Characters>16516</Characters>
  <Application>Microsoft Office Word</Application>
  <DocSecurity>0</DocSecurity>
  <Lines>137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Turgut Tursoy</cp:lastModifiedBy>
  <cp:revision>2</cp:revision>
  <dcterms:created xsi:type="dcterms:W3CDTF">2024-01-08T03:36:00Z</dcterms:created>
  <dcterms:modified xsi:type="dcterms:W3CDTF">2024-01-08T03:36:00Z</dcterms:modified>
</cp:coreProperties>
</file>